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9226" w14:textId="589A1F15" w:rsidR="00940C5D" w:rsidRPr="00F838F0" w:rsidRDefault="00410BFE" w:rsidP="00582B8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Доклад</w:t>
      </w:r>
    </w:p>
    <w:p w14:paraId="1E2274C1" w14:textId="10DA4D38" w:rsidR="00637D6B" w:rsidRPr="00E35674" w:rsidRDefault="00637D6B" w:rsidP="00582B8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t-IT"/>
        </w:rPr>
        <w:t>Claudio</w:t>
      </w:r>
      <w:r w:rsidRPr="00637D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Lombardi</w:t>
      </w:r>
      <w:r w:rsidR="00E35674">
        <w:rPr>
          <w:rFonts w:ascii="Times New Roman" w:hAnsi="Times New Roman" w:cs="Times New Roman"/>
          <w:b/>
          <w:sz w:val="24"/>
        </w:rPr>
        <w:t xml:space="preserve">, профессор Казахстанского института менеджмента и прогнозирования, </w:t>
      </w:r>
      <w:r w:rsidR="00E35674" w:rsidRPr="00E35674">
        <w:rPr>
          <w:rFonts w:ascii="Times New Roman" w:hAnsi="Times New Roman" w:cs="Times New Roman"/>
          <w:b/>
          <w:sz w:val="24"/>
        </w:rPr>
        <w:t>clombardi27@gmail.com</w:t>
      </w:r>
    </w:p>
    <w:p w14:paraId="2AE5C564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DB63E1">
        <w:rPr>
          <w:rFonts w:ascii="Times New Roman" w:hAnsi="Times New Roman" w:cs="Times New Roman"/>
          <w:b/>
          <w:sz w:val="24"/>
        </w:rPr>
        <w:t>Антимонопольное законодательство ЕС</w:t>
      </w:r>
      <w:r w:rsidRPr="00940C5D">
        <w:rPr>
          <w:rFonts w:ascii="Times New Roman" w:hAnsi="Times New Roman" w:cs="Times New Roman"/>
          <w:sz w:val="24"/>
        </w:rPr>
        <w:t xml:space="preserve"> относится к запрету картелей и других ограничительных соглашений и запрету злоупотребления доминирующим положением, содержащимся в статьях 101 и 102 Договора о функциониров</w:t>
      </w:r>
      <w:r w:rsidR="00DB63E1">
        <w:rPr>
          <w:rFonts w:ascii="Times New Roman" w:hAnsi="Times New Roman" w:cs="Times New Roman"/>
          <w:sz w:val="24"/>
        </w:rPr>
        <w:t>ании Европейского союза (TFEU).</w:t>
      </w:r>
    </w:p>
    <w:p w14:paraId="4BD2466C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Правоприменительная практика ЕС по вопросам конкуренции п</w:t>
      </w:r>
      <w:r w:rsidR="00056C74">
        <w:rPr>
          <w:rFonts w:ascii="Times New Roman" w:hAnsi="Times New Roman" w:cs="Times New Roman"/>
          <w:sz w:val="24"/>
        </w:rPr>
        <w:t>одразделяется на публичную</w:t>
      </w:r>
      <w:r w:rsidRPr="00940C5D">
        <w:rPr>
          <w:rFonts w:ascii="Times New Roman" w:hAnsi="Times New Roman" w:cs="Times New Roman"/>
          <w:sz w:val="24"/>
        </w:rPr>
        <w:t xml:space="preserve"> и частную.</w:t>
      </w:r>
    </w:p>
    <w:p w14:paraId="5CE486CF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DB63E1">
        <w:rPr>
          <w:rFonts w:ascii="Times New Roman" w:hAnsi="Times New Roman" w:cs="Times New Roman"/>
          <w:sz w:val="24"/>
        </w:rPr>
        <w:t>Под</w:t>
      </w:r>
      <w:r w:rsidRPr="00DB63E1">
        <w:rPr>
          <w:rFonts w:ascii="Times New Roman" w:hAnsi="Times New Roman" w:cs="Times New Roman"/>
          <w:b/>
          <w:sz w:val="24"/>
        </w:rPr>
        <w:t xml:space="preserve"> публичным </w:t>
      </w:r>
      <w:proofErr w:type="spellStart"/>
      <w:r w:rsidRPr="00DB63E1">
        <w:rPr>
          <w:rFonts w:ascii="Times New Roman" w:hAnsi="Times New Roman" w:cs="Times New Roman"/>
          <w:b/>
          <w:sz w:val="24"/>
        </w:rPr>
        <w:t>правоприменением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понимается разбирательство, которое ведется или возбуждается антимонопольными органами (Европейской комиссией или антимонопольными органами</w:t>
      </w:r>
      <w:r w:rsidR="00DB63E1">
        <w:rPr>
          <w:rFonts w:ascii="Times New Roman" w:hAnsi="Times New Roman" w:cs="Times New Roman"/>
          <w:sz w:val="24"/>
        </w:rPr>
        <w:t xml:space="preserve"> стран-членов ЕС).</w:t>
      </w:r>
    </w:p>
    <w:p w14:paraId="46148A6A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DB63E1">
        <w:rPr>
          <w:rFonts w:ascii="Times New Roman" w:hAnsi="Times New Roman" w:cs="Times New Roman"/>
          <w:b/>
          <w:sz w:val="24"/>
        </w:rPr>
        <w:t xml:space="preserve">Частное </w:t>
      </w:r>
      <w:proofErr w:type="spellStart"/>
      <w:r w:rsidRPr="00DB63E1">
        <w:rPr>
          <w:rFonts w:ascii="Times New Roman" w:hAnsi="Times New Roman" w:cs="Times New Roman"/>
          <w:b/>
          <w:sz w:val="24"/>
        </w:rPr>
        <w:t>правоприменение</w:t>
      </w:r>
      <w:proofErr w:type="spellEnd"/>
      <w:r w:rsidRPr="00940C5D">
        <w:rPr>
          <w:rFonts w:ascii="Times New Roman" w:hAnsi="Times New Roman" w:cs="Times New Roman"/>
          <w:sz w:val="24"/>
        </w:rPr>
        <w:t>, напротив, относится к использованию статей 101 и 102 TFEU в судебных разбирательствах между частными сто</w:t>
      </w:r>
      <w:r w:rsidR="00DB63E1">
        <w:rPr>
          <w:rFonts w:ascii="Times New Roman" w:hAnsi="Times New Roman" w:cs="Times New Roman"/>
          <w:sz w:val="24"/>
        </w:rPr>
        <w:t>ронами в судах стран-членов ЕС.</w:t>
      </w:r>
    </w:p>
    <w:p w14:paraId="1D0EEED5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DB63E1">
        <w:rPr>
          <w:rFonts w:ascii="Times New Roman" w:hAnsi="Times New Roman" w:cs="Times New Roman"/>
          <w:b/>
          <w:sz w:val="24"/>
        </w:rPr>
        <w:t>Существует четыре основных типа частного принуждения</w:t>
      </w:r>
      <w:r w:rsidRPr="00940C5D">
        <w:rPr>
          <w:rFonts w:ascii="Times New Roman" w:hAnsi="Times New Roman" w:cs="Times New Roman"/>
          <w:sz w:val="24"/>
        </w:rPr>
        <w:t>, соответствующие трем способам, которыми Статьи 101 и 102 TFEU могут быть использованы в судебных разбиратель</w:t>
      </w:r>
      <w:r w:rsidR="00DB63E1">
        <w:rPr>
          <w:rFonts w:ascii="Times New Roman" w:hAnsi="Times New Roman" w:cs="Times New Roman"/>
          <w:sz w:val="24"/>
        </w:rPr>
        <w:t>ствах между частными сторонами:</w:t>
      </w:r>
    </w:p>
    <w:p w14:paraId="60ED318D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- Статьи 101 и 102 TFEU могут быть использованы в качестве «щита», то есть </w:t>
      </w:r>
      <w:r w:rsidRPr="00525CFA">
        <w:rPr>
          <w:rFonts w:ascii="Times New Roman" w:hAnsi="Times New Roman" w:cs="Times New Roman"/>
          <w:b/>
          <w:sz w:val="24"/>
        </w:rPr>
        <w:t>в качестве защиты</w:t>
      </w:r>
      <w:r w:rsidRPr="00940C5D">
        <w:rPr>
          <w:rFonts w:ascii="Times New Roman" w:hAnsi="Times New Roman" w:cs="Times New Roman"/>
          <w:sz w:val="24"/>
        </w:rPr>
        <w:t xml:space="preserve"> от договорных претензий в отношении исполнения или убытков из-за неисполнения</w:t>
      </w:r>
    </w:p>
    <w:p w14:paraId="0692D5B4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- Статьи 101 и 102 TFEU также могут быть использованы против некоторых других требований, например, в случае нарушения прав интеллектуальной собственности;</w:t>
      </w:r>
    </w:p>
    <w:p w14:paraId="4A1D07F2" w14:textId="15E2D65C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- Статьи 101 и 102 TFEU могут использоваться </w:t>
      </w:r>
      <w:r w:rsidR="00F838F0" w:rsidRPr="00F838F0">
        <w:rPr>
          <w:rFonts w:ascii="Times New Roman" w:hAnsi="Times New Roman" w:cs="Times New Roman"/>
          <w:sz w:val="24"/>
        </w:rPr>
        <w:t>наступательно</w:t>
      </w:r>
      <w:r w:rsidRPr="00940C5D">
        <w:rPr>
          <w:rFonts w:ascii="Times New Roman" w:hAnsi="Times New Roman" w:cs="Times New Roman"/>
          <w:sz w:val="24"/>
        </w:rPr>
        <w:t xml:space="preserve">, как «меч», </w:t>
      </w:r>
      <w:r w:rsidRPr="00525CFA">
        <w:rPr>
          <w:rFonts w:ascii="Times New Roman" w:hAnsi="Times New Roman" w:cs="Times New Roman"/>
          <w:b/>
          <w:sz w:val="24"/>
        </w:rPr>
        <w:t>как основание для исков о судебном запрете, включая временное облегчение;</w:t>
      </w:r>
    </w:p>
    <w:p w14:paraId="56C6B989" w14:textId="5D43205B" w:rsidR="00940C5D" w:rsidRPr="00525CFA" w:rsidRDefault="00940C5D" w:rsidP="00582B8E">
      <w:pPr>
        <w:jc w:val="both"/>
        <w:rPr>
          <w:rFonts w:ascii="Times New Roman" w:hAnsi="Times New Roman" w:cs="Times New Roman"/>
          <w:b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- Статьи 101 и 102 TFEU могут быть использованы </w:t>
      </w:r>
      <w:r w:rsidR="00F838F0" w:rsidRPr="00F838F0">
        <w:rPr>
          <w:rFonts w:ascii="Times New Roman" w:hAnsi="Times New Roman" w:cs="Times New Roman"/>
          <w:sz w:val="24"/>
        </w:rPr>
        <w:t>наступательно</w:t>
      </w:r>
      <w:r w:rsidRPr="00940C5D">
        <w:rPr>
          <w:rFonts w:ascii="Times New Roman" w:hAnsi="Times New Roman" w:cs="Times New Roman"/>
          <w:sz w:val="24"/>
        </w:rPr>
        <w:t xml:space="preserve">, как «меч», </w:t>
      </w:r>
      <w:r w:rsidRPr="00525CFA">
        <w:rPr>
          <w:rFonts w:ascii="Times New Roman" w:hAnsi="Times New Roman" w:cs="Times New Roman"/>
          <w:b/>
          <w:sz w:val="24"/>
        </w:rPr>
        <w:t>как основание</w:t>
      </w:r>
      <w:r w:rsidR="00DB63E1" w:rsidRPr="00525CFA">
        <w:rPr>
          <w:rFonts w:ascii="Times New Roman" w:hAnsi="Times New Roman" w:cs="Times New Roman"/>
          <w:b/>
          <w:sz w:val="24"/>
        </w:rPr>
        <w:t xml:space="preserve"> для исков о возмещении ущерба.</w:t>
      </w:r>
    </w:p>
    <w:p w14:paraId="20C8A8D1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Более того, частные действия могут быть </w:t>
      </w:r>
      <w:r w:rsidRPr="00525CFA">
        <w:rPr>
          <w:rFonts w:ascii="Times New Roman" w:hAnsi="Times New Roman" w:cs="Times New Roman"/>
          <w:b/>
          <w:sz w:val="24"/>
        </w:rPr>
        <w:t>«самостоятельными», что означает</w:t>
      </w:r>
      <w:r w:rsidRPr="00940C5D">
        <w:rPr>
          <w:rFonts w:ascii="Times New Roman" w:hAnsi="Times New Roman" w:cs="Times New Roman"/>
          <w:sz w:val="24"/>
        </w:rPr>
        <w:t>, что они касаются нарушений, которые не являются и не являлись объектом публичного исполнительного производства.</w:t>
      </w:r>
    </w:p>
    <w:p w14:paraId="4D0130EB" w14:textId="77777777" w:rsidR="00C27081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Частные действия также могут быть «последующими», когда действие проводится параллельно с государственным исполнительным производством в отношении одного и того же предполагаемого нарушения или является его следствием. Два наиболее распространенных типа таких связей между частными действиями и государственными исполнительными производствами, как представляется, следующие:</w:t>
      </w:r>
    </w:p>
    <w:p w14:paraId="41BE7CCA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525CFA">
        <w:rPr>
          <w:rFonts w:ascii="Times New Roman" w:hAnsi="Times New Roman" w:cs="Times New Roman"/>
          <w:b/>
          <w:sz w:val="24"/>
        </w:rPr>
        <w:t>Требования о временном освобождении</w:t>
      </w:r>
      <w:r w:rsidRPr="00940C5D">
        <w:rPr>
          <w:rFonts w:ascii="Times New Roman" w:hAnsi="Times New Roman" w:cs="Times New Roman"/>
          <w:sz w:val="24"/>
        </w:rPr>
        <w:t xml:space="preserve"> в ожидании публичного исполнительного производства: частная сторона может подать жалобу о предполагаемом нарушении антимонопольного законодательства в антимонопольный орган и, когда орган расследует жалобу или когда орган начал разбирательство с целью принятия решения о запрете, заявитель может в частном порядке просить о временном освобождении в ожидании результатов публичного исполнительного производства. </w:t>
      </w:r>
      <w:r w:rsidR="001330DB">
        <w:rPr>
          <w:rFonts w:ascii="Times New Roman" w:hAnsi="Times New Roman" w:cs="Times New Roman"/>
          <w:sz w:val="24"/>
        </w:rPr>
        <w:t>Например, в случае с голландской</w:t>
      </w:r>
      <w:r w:rsidRPr="00940C5D">
        <w:rPr>
          <w:rFonts w:ascii="Times New Roman" w:hAnsi="Times New Roman" w:cs="Times New Roman"/>
          <w:sz w:val="24"/>
        </w:rPr>
        <w:t xml:space="preserve"> компанией </w:t>
      </w:r>
      <w:proofErr w:type="spellStart"/>
      <w:r w:rsidRPr="00940C5D">
        <w:rPr>
          <w:rFonts w:ascii="Times New Roman" w:hAnsi="Times New Roman" w:cs="Times New Roman"/>
          <w:sz w:val="24"/>
        </w:rPr>
        <w:t>Crane-Hire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заявитель, чья жалоба на определенные правила двух голландских ассоциаций фирм по прокату кранов инициировала расследование </w:t>
      </w:r>
      <w:r w:rsidRPr="00940C5D">
        <w:rPr>
          <w:rFonts w:ascii="Times New Roman" w:hAnsi="Times New Roman" w:cs="Times New Roman"/>
          <w:sz w:val="24"/>
        </w:rPr>
        <w:lastRenderedPageBreak/>
        <w:t>Европейской комиссией в соответствии со статьей 101 TFEU, разыскивал и действительно получал, как только Европейская комиссия направила Заявление о возражениях, судебный запрет в частных судах Нидерландов против двух ассоциаций, приостановление применения оспариваемых правил до тех пор, пока Европейская комиссия не примет решение по этому вопросу5.</w:t>
      </w:r>
    </w:p>
    <w:p w14:paraId="24DC76BA" w14:textId="6E572095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 </w:t>
      </w:r>
      <w:r w:rsidRPr="00525CFA">
        <w:rPr>
          <w:rFonts w:ascii="Times New Roman" w:hAnsi="Times New Roman" w:cs="Times New Roman"/>
          <w:b/>
          <w:sz w:val="24"/>
        </w:rPr>
        <w:t>Последующие действия по возмещению убытков</w:t>
      </w:r>
      <w:r w:rsidRPr="00940C5D">
        <w:rPr>
          <w:rFonts w:ascii="Times New Roman" w:hAnsi="Times New Roman" w:cs="Times New Roman"/>
          <w:sz w:val="24"/>
        </w:rPr>
        <w:t>: После того, как антимонопольный орган завершил разбирательство с установлением нару</w:t>
      </w:r>
      <w:r w:rsidR="00DB63E1">
        <w:rPr>
          <w:rFonts w:ascii="Times New Roman" w:hAnsi="Times New Roman" w:cs="Times New Roman"/>
          <w:sz w:val="24"/>
        </w:rPr>
        <w:t>шения статьи 101 или статьи 102</w:t>
      </w:r>
      <w:r w:rsidR="00B6577B" w:rsidRPr="00B6577B">
        <w:rPr>
          <w:rFonts w:ascii="Times New Roman" w:hAnsi="Times New Roman" w:cs="Times New Roman"/>
          <w:sz w:val="24"/>
        </w:rPr>
        <w:t xml:space="preserve"> </w:t>
      </w:r>
      <w:r w:rsidRPr="00940C5D">
        <w:rPr>
          <w:rFonts w:ascii="Times New Roman" w:hAnsi="Times New Roman" w:cs="Times New Roman"/>
          <w:sz w:val="24"/>
        </w:rPr>
        <w:t xml:space="preserve">TFEU, частные лица могут подать иск о возмещении ущерба в национальном суде против предприятий, которые, как было установлено, совершили нарушение, с </w:t>
      </w:r>
      <w:proofErr w:type="gramStart"/>
      <w:r w:rsidRPr="00940C5D">
        <w:rPr>
          <w:rFonts w:ascii="Times New Roman" w:hAnsi="Times New Roman" w:cs="Times New Roman"/>
          <w:sz w:val="24"/>
        </w:rPr>
        <w:t>тем</w:t>
      </w:r>
      <w:proofErr w:type="gramEnd"/>
      <w:r w:rsidRPr="00940C5D">
        <w:rPr>
          <w:rFonts w:ascii="Times New Roman" w:hAnsi="Times New Roman" w:cs="Times New Roman"/>
          <w:sz w:val="24"/>
        </w:rPr>
        <w:t xml:space="preserve"> чтобы получить компенсацию за ущерб, понесенный в результате этого нарушения.</w:t>
      </w:r>
    </w:p>
    <w:p w14:paraId="38C375B1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Иски о возмещении ущерба, которые напрямую не связаны с установлением нарушения в ходе публичного исполнительного производства, рассматриваются как самостоятельные иски о возмещении ущерба. Такие самостоятельные действия могут, однако, менее тесно связаны с государственным исполнительным производством. Например, в первом отдельном деле о возмещении убытков, рассмотренном Апелляционным трибуналом по вопросам конкуренции в Великобритании, супермаркет </w:t>
      </w:r>
      <w:proofErr w:type="spellStart"/>
      <w:r w:rsidRPr="00940C5D">
        <w:rPr>
          <w:rFonts w:ascii="Times New Roman" w:hAnsi="Times New Roman" w:cs="Times New Roman"/>
          <w:sz w:val="24"/>
        </w:rPr>
        <w:t>Sainsbury's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недавно получил 68,6 млн фунтов в качестве убытков от </w:t>
      </w:r>
      <w:proofErr w:type="spellStart"/>
      <w:r w:rsidRPr="00940C5D">
        <w:rPr>
          <w:rFonts w:ascii="Times New Roman" w:hAnsi="Times New Roman" w:cs="Times New Roman"/>
          <w:sz w:val="24"/>
        </w:rPr>
        <w:t>MasterCard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в результате многосторонней платы за обмен (MIF), установленной и применяемой </w:t>
      </w:r>
      <w:proofErr w:type="spellStart"/>
      <w:r w:rsidRPr="00940C5D">
        <w:rPr>
          <w:rFonts w:ascii="Times New Roman" w:hAnsi="Times New Roman" w:cs="Times New Roman"/>
          <w:sz w:val="24"/>
        </w:rPr>
        <w:t>MasterCard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для транзакций в Великобритания (UK MIF) с декабря 2006 года. </w:t>
      </w:r>
      <w:proofErr w:type="spellStart"/>
      <w:r w:rsidRPr="00940C5D">
        <w:rPr>
          <w:rFonts w:ascii="Times New Roman" w:hAnsi="Times New Roman" w:cs="Times New Roman"/>
          <w:sz w:val="24"/>
        </w:rPr>
        <w:t>Sainsbury's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не может полагаться на какое-либо государственное принудительное решение, касающееся того же MIF и того же периода времени, но его частному иску предшествовало решение Европейской комиссии, подтвержденное Генеральным судом ЕС. и Суд, установивший нарушение статьи 101 TFEU в отношении MIF </w:t>
      </w:r>
      <w:proofErr w:type="spellStart"/>
      <w:r w:rsidRPr="00940C5D">
        <w:rPr>
          <w:rFonts w:ascii="Times New Roman" w:hAnsi="Times New Roman" w:cs="Times New Roman"/>
          <w:sz w:val="24"/>
        </w:rPr>
        <w:t>MasterCard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для трансграничных операций между странами ЕЭЗ (внутри-EEA MIF) в период с дек</w:t>
      </w:r>
      <w:r w:rsidR="00DB63E1">
        <w:rPr>
          <w:rFonts w:ascii="Times New Roman" w:hAnsi="Times New Roman" w:cs="Times New Roman"/>
          <w:sz w:val="24"/>
        </w:rPr>
        <w:t>абря 1992 по декабрь 2007 года.</w:t>
      </w:r>
    </w:p>
    <w:p w14:paraId="3D86E303" w14:textId="77777777" w:rsidR="00940C5D" w:rsidRPr="00525CFA" w:rsidRDefault="00940C5D" w:rsidP="00582B8E">
      <w:pPr>
        <w:jc w:val="both"/>
        <w:rPr>
          <w:rFonts w:ascii="Times New Roman" w:hAnsi="Times New Roman" w:cs="Times New Roman"/>
          <w:b/>
          <w:sz w:val="24"/>
        </w:rPr>
      </w:pPr>
      <w:r w:rsidRPr="00525CFA">
        <w:rPr>
          <w:rFonts w:ascii="Times New Roman" w:hAnsi="Times New Roman" w:cs="Times New Roman"/>
          <w:b/>
          <w:sz w:val="24"/>
        </w:rPr>
        <w:t>Директива об ущербе 104/2014</w:t>
      </w:r>
    </w:p>
    <w:p w14:paraId="7ABFD083" w14:textId="615D8FE3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Директива об антимонопольных </w:t>
      </w:r>
      <w:proofErr w:type="gramStart"/>
      <w:r w:rsidRPr="00940C5D">
        <w:rPr>
          <w:rFonts w:ascii="Times New Roman" w:hAnsi="Times New Roman" w:cs="Times New Roman"/>
          <w:sz w:val="24"/>
        </w:rPr>
        <w:t>исках</w:t>
      </w:r>
      <w:proofErr w:type="gramEnd"/>
      <w:r w:rsidRPr="00940C5D">
        <w:rPr>
          <w:rFonts w:ascii="Times New Roman" w:hAnsi="Times New Roman" w:cs="Times New Roman"/>
          <w:sz w:val="24"/>
        </w:rPr>
        <w:t xml:space="preserve"> о возмещении убытков (Директива о возмещении убытков) была подписана 26 ноября 2014 года, вводя принятие «определенных правил, регулирующих иски о возмещении убытков в соответствии с национальным законодательством за нарушение положений законодательства о конкуренции государств-членов и Европейского союза». В Директиве о возмещении убытков, в соответствии с прецедентным правом CJEU, говорится, что каждый может требовать полной компенсации ущерба, причиненного нарушением антимонопольного законодательства.</w:t>
      </w:r>
    </w:p>
    <w:p w14:paraId="2BAF3D68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В Европейском Союзе был принят минимальный стандарт для действий в случае ущерба за нарушение законодательства о конкуренции, приняв Директиву 2014/104 / ЕС от 26 ноября 2014 года (Директива). Новая нормативно-правовая база направлена ​​на улучшение возможностей для эффективного возмещения ущерба для тех, кто пострадал от картелей, злоупотреблений доминирующим положением или незаконных вертикальных ограничений.</w:t>
      </w:r>
    </w:p>
    <w:p w14:paraId="7CD39685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Пострадавшие стороны должны иметь возможность требовать компенсацию не только за фактически понесенный ущерб, но и за прибыль, которой они были лишены (упущенная выгода) плюс проценты. Такая компенсация должна испрашиваться в национальных судах, поскольку присуждение компенсации за ущерб находится за пределами компетенции Комиссии и национальных антимонопольных органов.</w:t>
      </w:r>
    </w:p>
    <w:p w14:paraId="5C42610E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lastRenderedPageBreak/>
        <w:t>С этой целью Директива требует, чтобы каждое государство-член ЕС приняло ряд мер, дружественных к истцу, которые сделают последующие действия по возмещению ущерба более эффективными, в частности:</w:t>
      </w:r>
    </w:p>
    <w:p w14:paraId="79922FEC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• опровержимое предположение, что картели наносят вред;</w:t>
      </w:r>
    </w:p>
    <w:p w14:paraId="784568C4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• доступ к ключевым документам в архивах антимонопольных органов;</w:t>
      </w:r>
    </w:p>
    <w:p w14:paraId="19D1271C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• подтверждение того, что косвенные покупатели могут инициировать претензии к </w:t>
      </w:r>
      <w:proofErr w:type="spellStart"/>
      <w:r w:rsidRPr="00940C5D">
        <w:rPr>
          <w:rFonts w:ascii="Times New Roman" w:hAnsi="Times New Roman" w:cs="Times New Roman"/>
          <w:sz w:val="24"/>
        </w:rPr>
        <w:t>картелистам</w:t>
      </w:r>
      <w:proofErr w:type="spellEnd"/>
      <w:r w:rsidRPr="00940C5D">
        <w:rPr>
          <w:rFonts w:ascii="Times New Roman" w:hAnsi="Times New Roman" w:cs="Times New Roman"/>
          <w:sz w:val="24"/>
        </w:rPr>
        <w:t>;</w:t>
      </w:r>
    </w:p>
    <w:p w14:paraId="07D6130D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• правила солидарной ответственности </w:t>
      </w:r>
      <w:proofErr w:type="spellStart"/>
      <w:r w:rsidRPr="00940C5D">
        <w:rPr>
          <w:rFonts w:ascii="Times New Roman" w:hAnsi="Times New Roman" w:cs="Times New Roman"/>
          <w:sz w:val="24"/>
        </w:rPr>
        <w:t>картелистов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с дополнительными правилами, которые благоприятствуют заявителям, снискавшим снисхождение, а также малым и средним предприятиям; а также</w:t>
      </w:r>
    </w:p>
    <w:p w14:paraId="3AA57DD7" w14:textId="77777777" w:rsidR="00940C5D" w:rsidRPr="00940C5D" w:rsidRDefault="00DB63E1" w:rsidP="00582B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минимальные сроки давности.</w:t>
      </w:r>
    </w:p>
    <w:p w14:paraId="79D969B5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Тем не менее, Директива не гармонизирует все правила гражданской ответственности и стандарт доказывания.</w:t>
      </w:r>
    </w:p>
    <w:p w14:paraId="24B94555" w14:textId="77777777" w:rsidR="00940C5D" w:rsidRP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 xml:space="preserve">Напротив, требование о возмещении убытков будет в значительной степени основано на применении внутреннего гражданского и антимонопольного законодательства. Как известно, стандарты гражданской ответственности в Европе, как правило, разнообразны. В то время как, например, в Англии антимонопольное действие основано на нарушении законного права, во Франции такое же действие основано на нарушении общих </w:t>
      </w:r>
      <w:proofErr w:type="spellStart"/>
      <w:r w:rsidRPr="00940C5D">
        <w:rPr>
          <w:rFonts w:ascii="Times New Roman" w:hAnsi="Times New Roman" w:cs="Times New Roman"/>
          <w:sz w:val="24"/>
        </w:rPr>
        <w:t>деликтных</w:t>
      </w:r>
      <w:proofErr w:type="spellEnd"/>
      <w:r w:rsidRPr="00940C5D">
        <w:rPr>
          <w:rFonts w:ascii="Times New Roman" w:hAnsi="Times New Roman" w:cs="Times New Roman"/>
          <w:sz w:val="24"/>
        </w:rPr>
        <w:t xml:space="preserve"> законов.</w:t>
      </w:r>
    </w:p>
    <w:p w14:paraId="72A59C07" w14:textId="77777777" w:rsidR="00940C5D" w:rsidRDefault="00940C5D" w:rsidP="00582B8E">
      <w:pPr>
        <w:jc w:val="both"/>
        <w:rPr>
          <w:rFonts w:ascii="Times New Roman" w:hAnsi="Times New Roman" w:cs="Times New Roman"/>
          <w:sz w:val="24"/>
        </w:rPr>
      </w:pPr>
      <w:r w:rsidRPr="00940C5D">
        <w:rPr>
          <w:rFonts w:ascii="Times New Roman" w:hAnsi="Times New Roman" w:cs="Times New Roman"/>
          <w:sz w:val="24"/>
        </w:rPr>
        <w:t>К тому же, правила доказывания довольно разнообразны по всей Европе. В частности, в то время как британские суды применяют стандарт доказывания «более вероятно, чем нет», континентальные судьи, как правило, связаны более высоким стандартом «вынесения приговора во времени».</w:t>
      </w:r>
    </w:p>
    <w:p w14:paraId="565FA3B0" w14:textId="77777777" w:rsidR="008A41D6" w:rsidRPr="008A41D6" w:rsidRDefault="008A41D6" w:rsidP="00582B8E">
      <w:pPr>
        <w:jc w:val="both"/>
        <w:rPr>
          <w:rFonts w:ascii="Times New Roman" w:hAnsi="Times New Roman" w:cs="Times New Roman"/>
          <w:sz w:val="24"/>
        </w:rPr>
      </w:pPr>
      <w:r w:rsidRPr="008A41D6">
        <w:rPr>
          <w:rFonts w:ascii="Times New Roman" w:hAnsi="Times New Roman" w:cs="Times New Roman"/>
          <w:sz w:val="24"/>
        </w:rPr>
        <w:t>Одним из основных вопросов в судебном процессе является доказательство причинно-следственной связи, поскольку нет конкретных правил, позволяющих установить наличие причинно-следственной связи между нарушением законодательства о к</w:t>
      </w:r>
      <w:r w:rsidR="00DB63E1">
        <w:rPr>
          <w:rFonts w:ascii="Times New Roman" w:hAnsi="Times New Roman" w:cs="Times New Roman"/>
          <w:sz w:val="24"/>
        </w:rPr>
        <w:t>онкуренции и причинением вреда.</w:t>
      </w:r>
    </w:p>
    <w:p w14:paraId="2E178D8D" w14:textId="2A48BEE6" w:rsidR="008A41D6" w:rsidRDefault="008A41D6" w:rsidP="00582B8E">
      <w:pPr>
        <w:jc w:val="both"/>
        <w:rPr>
          <w:rFonts w:ascii="Times New Roman" w:hAnsi="Times New Roman" w:cs="Times New Roman"/>
          <w:sz w:val="24"/>
        </w:rPr>
      </w:pPr>
      <w:r w:rsidRPr="008A41D6">
        <w:rPr>
          <w:rFonts w:ascii="Times New Roman" w:hAnsi="Times New Roman" w:cs="Times New Roman"/>
          <w:sz w:val="24"/>
        </w:rPr>
        <w:t xml:space="preserve">Несмотря на то, что Директива о возмещении ущерба привнесла определенную степень согласованности в частном антимонопольном </w:t>
      </w:r>
      <w:proofErr w:type="spellStart"/>
      <w:r w:rsidRPr="008A41D6">
        <w:rPr>
          <w:rFonts w:ascii="Times New Roman" w:hAnsi="Times New Roman" w:cs="Times New Roman"/>
          <w:sz w:val="24"/>
        </w:rPr>
        <w:t>правоприменении</w:t>
      </w:r>
      <w:proofErr w:type="spellEnd"/>
      <w:r w:rsidRPr="008A41D6">
        <w:rPr>
          <w:rFonts w:ascii="Times New Roman" w:hAnsi="Times New Roman" w:cs="Times New Roman"/>
          <w:sz w:val="24"/>
        </w:rPr>
        <w:t xml:space="preserve"> в Европе, все еще существуют важные различия между внутренним законодательством. Многие отмечают, что эту проблему необходимо решать, поскольку она снижает определенность и единообразие в применении законов ЕС и позволяет проводить «покупки в форумах». Однако, с другой стороны, это разнообразие, которое часто коренится в старых правовых традициях, также вызвало позитивную регуляторную конкуренцию между юрисдикциями. Так, например, ряд европейских стран (Англия, Нидерланды, Финляндия, Германия и др.) </w:t>
      </w:r>
      <w:r w:rsidR="00811AC7">
        <w:rPr>
          <w:rFonts w:ascii="Times New Roman" w:hAnsi="Times New Roman" w:cs="Times New Roman"/>
          <w:sz w:val="24"/>
        </w:rPr>
        <w:t>в</w:t>
      </w:r>
      <w:r w:rsidRPr="008A41D6">
        <w:rPr>
          <w:rFonts w:ascii="Times New Roman" w:hAnsi="Times New Roman" w:cs="Times New Roman"/>
          <w:sz w:val="24"/>
        </w:rPr>
        <w:t>водят новшества в свое законодательство, чтобы принимать больше антимонопольных мер.</w:t>
      </w:r>
    </w:p>
    <w:p w14:paraId="513339BD" w14:textId="30C92346" w:rsidR="00F838F0" w:rsidRPr="004A5925" w:rsidRDefault="00B64687" w:rsidP="00F838F0">
      <w:pPr>
        <w:jc w:val="both"/>
        <w:rPr>
          <w:rFonts w:ascii="Times New Roman" w:hAnsi="Times New Roman" w:cs="Times New Roman"/>
          <w:sz w:val="24"/>
        </w:rPr>
      </w:pPr>
      <w:r w:rsidRPr="00B64687">
        <w:rPr>
          <w:rFonts w:ascii="Times New Roman" w:hAnsi="Times New Roman" w:cs="Times New Roman"/>
          <w:sz w:val="24"/>
        </w:rPr>
        <w:t xml:space="preserve">Закон ЕС о конкуренции в отношении убытков применяет критерий корректирующего правосудия, в соответствии с которым целью средства правовой защиты является предоставление полной компенсации жертве ущерба. Однако частное </w:t>
      </w:r>
      <w:proofErr w:type="spellStart"/>
      <w:r w:rsidRPr="00B64687">
        <w:rPr>
          <w:rFonts w:ascii="Times New Roman" w:hAnsi="Times New Roman" w:cs="Times New Roman"/>
          <w:sz w:val="24"/>
        </w:rPr>
        <w:t>правоприменение</w:t>
      </w:r>
      <w:proofErr w:type="spellEnd"/>
      <w:r w:rsidRPr="00B64687">
        <w:rPr>
          <w:rFonts w:ascii="Times New Roman" w:hAnsi="Times New Roman" w:cs="Times New Roman"/>
          <w:sz w:val="24"/>
        </w:rPr>
        <w:t xml:space="preserve"> антимонопольного законодательства также может сдерживать будущие нарушения и стать дополнительным инструментом рыночного регулирования.</w:t>
      </w:r>
      <w:bookmarkStart w:id="0" w:name="_GoBack"/>
      <w:bookmarkEnd w:id="0"/>
    </w:p>
    <w:sectPr w:rsidR="00F838F0" w:rsidRPr="004A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D"/>
    <w:rsid w:val="00056C74"/>
    <w:rsid w:val="001330DB"/>
    <w:rsid w:val="00410BFE"/>
    <w:rsid w:val="004A5925"/>
    <w:rsid w:val="00525CFA"/>
    <w:rsid w:val="00582B8E"/>
    <w:rsid w:val="00637D6B"/>
    <w:rsid w:val="008026A8"/>
    <w:rsid w:val="00811AC7"/>
    <w:rsid w:val="008A41D6"/>
    <w:rsid w:val="00940C5D"/>
    <w:rsid w:val="00A25C1E"/>
    <w:rsid w:val="00B64687"/>
    <w:rsid w:val="00B6577B"/>
    <w:rsid w:val="00B71203"/>
    <w:rsid w:val="00C27081"/>
    <w:rsid w:val="00DB63E1"/>
    <w:rsid w:val="00E35674"/>
    <w:rsid w:val="00E647E1"/>
    <w:rsid w:val="00F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D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2</cp:revision>
  <dcterms:created xsi:type="dcterms:W3CDTF">2019-11-05T05:53:00Z</dcterms:created>
  <dcterms:modified xsi:type="dcterms:W3CDTF">2019-11-05T05:53:00Z</dcterms:modified>
</cp:coreProperties>
</file>